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C0" w:rsidRDefault="004802C0" w:rsidP="004802C0">
      <w:pPr>
        <w:pStyle w:val="NoSpacing"/>
        <w:jc w:val="right"/>
        <w:rPr>
          <w:b/>
          <w:sz w:val="44"/>
          <w:u w:val="single"/>
        </w:rPr>
      </w:pPr>
      <w:r>
        <w:rPr>
          <w:rFonts w:ascii="Arial" w:hAnsi="Arial" w:cs="Arial"/>
          <w:noProof/>
          <w:sz w:val="32"/>
          <w:szCs w:val="32"/>
          <w:lang w:eastAsia="en-GB"/>
        </w:rPr>
        <w:drawing>
          <wp:inline distT="0" distB="0" distL="0" distR="0" wp14:anchorId="200EF2AF" wp14:editId="7880F073">
            <wp:extent cx="2710042" cy="1217856"/>
            <wp:effectExtent l="0" t="0" r="0" b="1905"/>
            <wp:docPr id="2" name="Picture 2" descr="C:\Users\walkerpa\AppData\Local\Microsoft\Windows\INetCache\Content.Outlook\MVSIS325\LOGO 2017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lkerpa\AppData\Local\Microsoft\Windows\INetCache\Content.Outlook\MVSIS325\LOGO 2017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308" cy="1220672"/>
                    </a:xfrm>
                    <a:prstGeom prst="rect">
                      <a:avLst/>
                    </a:prstGeom>
                    <a:noFill/>
                    <a:ln>
                      <a:noFill/>
                    </a:ln>
                  </pic:spPr>
                </pic:pic>
              </a:graphicData>
            </a:graphic>
          </wp:inline>
        </w:drawing>
      </w:r>
    </w:p>
    <w:p w:rsidR="00845705" w:rsidRPr="004802C0" w:rsidRDefault="003E6CF5" w:rsidP="004802C0">
      <w:pPr>
        <w:pStyle w:val="NoSpacing"/>
        <w:jc w:val="center"/>
        <w:rPr>
          <w:b/>
          <w:sz w:val="44"/>
          <w:u w:val="single"/>
        </w:rPr>
      </w:pPr>
      <w:r w:rsidRPr="004802C0">
        <w:rPr>
          <w:b/>
          <w:sz w:val="44"/>
          <w:u w:val="single"/>
        </w:rPr>
        <w:t>How to support people with dementia to hand wash</w:t>
      </w:r>
      <w:r w:rsidR="00C101E4">
        <w:rPr>
          <w:b/>
          <w:sz w:val="44"/>
          <w:u w:val="single"/>
        </w:rPr>
        <w:t xml:space="preserve"> (during the COVID-19 pandemic)</w:t>
      </w:r>
    </w:p>
    <w:p w:rsidR="004802C0" w:rsidRDefault="003E6CF5" w:rsidP="004802C0">
      <w:pPr>
        <w:pStyle w:val="NoSpacing"/>
        <w:numPr>
          <w:ilvl w:val="0"/>
          <w:numId w:val="1"/>
        </w:numPr>
        <w:rPr>
          <w:sz w:val="28"/>
          <w:szCs w:val="28"/>
        </w:rPr>
      </w:pPr>
      <w:r w:rsidRPr="00845705">
        <w:rPr>
          <w:sz w:val="28"/>
          <w:szCs w:val="28"/>
        </w:rPr>
        <w:t>Whilst handwashing is crucial to reducing the spread of C</w:t>
      </w:r>
      <w:bookmarkStart w:id="0" w:name="_GoBack"/>
      <w:bookmarkEnd w:id="0"/>
      <w:r w:rsidRPr="00845705">
        <w:rPr>
          <w:sz w:val="28"/>
          <w:szCs w:val="28"/>
        </w:rPr>
        <w:t xml:space="preserve">OVID-19, it is something that a person </w:t>
      </w:r>
      <w:r w:rsidR="00E62120" w:rsidRPr="00845705">
        <w:rPr>
          <w:sz w:val="28"/>
          <w:szCs w:val="28"/>
        </w:rPr>
        <w:t xml:space="preserve">living </w:t>
      </w:r>
      <w:r w:rsidRPr="00845705">
        <w:rPr>
          <w:sz w:val="28"/>
          <w:szCs w:val="28"/>
        </w:rPr>
        <w:t>with dementia may struggle to do. This may be due to cognitive impairment and/or sensory difficulties.</w:t>
      </w:r>
    </w:p>
    <w:p w:rsidR="003E6CF5" w:rsidRPr="004802C0" w:rsidRDefault="003E6CF5" w:rsidP="003E6CF5">
      <w:pPr>
        <w:pStyle w:val="NoSpacing"/>
        <w:numPr>
          <w:ilvl w:val="0"/>
          <w:numId w:val="1"/>
        </w:numPr>
        <w:rPr>
          <w:sz w:val="28"/>
          <w:szCs w:val="28"/>
        </w:rPr>
      </w:pPr>
      <w:r w:rsidRPr="004802C0">
        <w:rPr>
          <w:sz w:val="28"/>
          <w:szCs w:val="28"/>
        </w:rPr>
        <w:t>People</w:t>
      </w:r>
      <w:r w:rsidR="00E62120" w:rsidRPr="004802C0">
        <w:rPr>
          <w:sz w:val="28"/>
          <w:szCs w:val="28"/>
        </w:rPr>
        <w:t xml:space="preserve"> living</w:t>
      </w:r>
      <w:r w:rsidRPr="004802C0">
        <w:rPr>
          <w:sz w:val="28"/>
          <w:szCs w:val="28"/>
        </w:rPr>
        <w:t xml:space="preserve"> with dementia can experience aversion to the smells, images, sounds and the tact</w:t>
      </w:r>
      <w:r w:rsidR="00845705" w:rsidRPr="004802C0">
        <w:rPr>
          <w:sz w:val="28"/>
          <w:szCs w:val="28"/>
        </w:rPr>
        <w:t xml:space="preserve">ile sensations of hand washing. They may also </w:t>
      </w:r>
      <w:r w:rsidRPr="004802C0">
        <w:rPr>
          <w:sz w:val="28"/>
          <w:szCs w:val="28"/>
        </w:rPr>
        <w:t xml:space="preserve">have problems with balance, </w:t>
      </w:r>
      <w:r w:rsidR="00FE255D" w:rsidRPr="004802C0">
        <w:rPr>
          <w:sz w:val="28"/>
          <w:szCs w:val="28"/>
        </w:rPr>
        <w:t xml:space="preserve">muscle </w:t>
      </w:r>
      <w:r w:rsidRPr="004802C0">
        <w:rPr>
          <w:sz w:val="28"/>
          <w:szCs w:val="28"/>
        </w:rPr>
        <w:t>tone or co-o</w:t>
      </w:r>
      <w:r w:rsidR="00845705" w:rsidRPr="004802C0">
        <w:rPr>
          <w:sz w:val="28"/>
          <w:szCs w:val="28"/>
        </w:rPr>
        <w:t xml:space="preserve">rdinating their hand movements, </w:t>
      </w:r>
      <w:r w:rsidRPr="004802C0">
        <w:rPr>
          <w:sz w:val="28"/>
          <w:szCs w:val="28"/>
        </w:rPr>
        <w:t>not understand the step-by-step proce</w:t>
      </w:r>
      <w:r w:rsidR="00845705" w:rsidRPr="004802C0">
        <w:rPr>
          <w:sz w:val="28"/>
          <w:szCs w:val="28"/>
        </w:rPr>
        <w:t>ss of hand washing,</w:t>
      </w:r>
      <w:r w:rsidR="00E62120" w:rsidRPr="004802C0">
        <w:rPr>
          <w:sz w:val="28"/>
          <w:szCs w:val="28"/>
        </w:rPr>
        <w:t xml:space="preserve"> or simply l</w:t>
      </w:r>
      <w:r w:rsidRPr="004802C0">
        <w:rPr>
          <w:sz w:val="28"/>
          <w:szCs w:val="28"/>
        </w:rPr>
        <w:t>ose concentration and forget what they were doing.</w:t>
      </w:r>
    </w:p>
    <w:p w:rsidR="003E6CF5" w:rsidRPr="00845705" w:rsidRDefault="003E6CF5" w:rsidP="003E6CF5">
      <w:pPr>
        <w:pStyle w:val="NoSpacing"/>
        <w:numPr>
          <w:ilvl w:val="0"/>
          <w:numId w:val="1"/>
        </w:numPr>
        <w:rPr>
          <w:sz w:val="28"/>
          <w:szCs w:val="28"/>
        </w:rPr>
      </w:pPr>
      <w:r w:rsidRPr="00845705">
        <w:rPr>
          <w:sz w:val="28"/>
          <w:szCs w:val="28"/>
        </w:rPr>
        <w:t>The following suggestions shou</w:t>
      </w:r>
      <w:r w:rsidR="00845705" w:rsidRPr="00845705">
        <w:rPr>
          <w:sz w:val="28"/>
          <w:szCs w:val="28"/>
        </w:rPr>
        <w:t>ld be tailored to the specific strengths and difficulties</w:t>
      </w:r>
      <w:r w:rsidRPr="00845705">
        <w:rPr>
          <w:sz w:val="28"/>
          <w:szCs w:val="28"/>
        </w:rPr>
        <w:t xml:space="preserve"> of the person</w:t>
      </w:r>
      <w:r w:rsidR="00E62120" w:rsidRPr="00845705">
        <w:rPr>
          <w:sz w:val="28"/>
          <w:szCs w:val="28"/>
        </w:rPr>
        <w:t xml:space="preserve"> living</w:t>
      </w:r>
      <w:r w:rsidRPr="00845705">
        <w:rPr>
          <w:sz w:val="28"/>
          <w:szCs w:val="28"/>
        </w:rPr>
        <w:t xml:space="preserve"> with dementia</w:t>
      </w:r>
      <w:r w:rsidR="00845705" w:rsidRPr="00845705">
        <w:rPr>
          <w:sz w:val="28"/>
          <w:szCs w:val="28"/>
        </w:rPr>
        <w:t xml:space="preserve"> whom </w:t>
      </w:r>
      <w:r w:rsidRPr="00845705">
        <w:rPr>
          <w:sz w:val="28"/>
          <w:szCs w:val="28"/>
        </w:rPr>
        <w:t>you are supporting</w:t>
      </w:r>
      <w:r w:rsidR="00845705" w:rsidRPr="00845705">
        <w:rPr>
          <w:sz w:val="28"/>
          <w:szCs w:val="28"/>
        </w:rPr>
        <w:t xml:space="preserve"> to hand wash</w:t>
      </w:r>
      <w:r w:rsidRPr="00845705">
        <w:rPr>
          <w:sz w:val="28"/>
          <w:szCs w:val="28"/>
        </w:rPr>
        <w:t>;</w:t>
      </w:r>
    </w:p>
    <w:p w:rsidR="003E6CF5" w:rsidRPr="00845705" w:rsidRDefault="003E6CF5" w:rsidP="003E6CF5">
      <w:pPr>
        <w:pStyle w:val="NoSpacing"/>
        <w:numPr>
          <w:ilvl w:val="1"/>
          <w:numId w:val="1"/>
        </w:numPr>
        <w:rPr>
          <w:rStyle w:val="Hyperlink"/>
          <w:color w:val="auto"/>
          <w:sz w:val="28"/>
          <w:szCs w:val="28"/>
          <w:u w:val="none"/>
        </w:rPr>
      </w:pPr>
      <w:r w:rsidRPr="00845705">
        <w:rPr>
          <w:b/>
          <w:sz w:val="28"/>
          <w:szCs w:val="28"/>
        </w:rPr>
        <w:t>Explain the process</w:t>
      </w:r>
      <w:r w:rsidRPr="00845705">
        <w:rPr>
          <w:sz w:val="28"/>
          <w:szCs w:val="28"/>
        </w:rPr>
        <w:t xml:space="preserve"> of hand washing using the World Health Organisation’s (WHO) step-by-step hand washing guide</w:t>
      </w:r>
      <w:r w:rsidR="00845705" w:rsidRPr="00845705">
        <w:rPr>
          <w:sz w:val="28"/>
          <w:szCs w:val="28"/>
        </w:rPr>
        <w:t xml:space="preserve"> if needed</w:t>
      </w:r>
      <w:r w:rsidR="00845705">
        <w:rPr>
          <w:sz w:val="28"/>
          <w:szCs w:val="28"/>
        </w:rPr>
        <w:t xml:space="preserve">: </w:t>
      </w:r>
    </w:p>
    <w:p w:rsidR="00845705" w:rsidRDefault="00845705" w:rsidP="00845705">
      <w:pPr>
        <w:pStyle w:val="NoSpacing"/>
        <w:ind w:left="1080"/>
        <w:rPr>
          <w:b/>
          <w:sz w:val="28"/>
          <w:szCs w:val="28"/>
        </w:rPr>
      </w:pPr>
      <w:r>
        <w:rPr>
          <w:noProof/>
          <w:sz w:val="28"/>
          <w:szCs w:val="28"/>
          <w:lang w:eastAsia="en-GB"/>
        </w:rPr>
        <w:drawing>
          <wp:anchor distT="0" distB="0" distL="114300" distR="114300" simplePos="0" relativeHeight="251658240" behindDoc="0" locked="0" layoutInCell="1" allowOverlap="1" wp14:anchorId="16FFAC33" wp14:editId="697DE203">
            <wp:simplePos x="0" y="0"/>
            <wp:positionH relativeFrom="column">
              <wp:posOffset>647323</wp:posOffset>
            </wp:positionH>
            <wp:positionV relativeFrom="paragraph">
              <wp:posOffset>161598</wp:posOffset>
            </wp:positionV>
            <wp:extent cx="5522613" cy="4399984"/>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_to_handwash_lge.gif"/>
                    <pic:cNvPicPr/>
                  </pic:nvPicPr>
                  <pic:blipFill>
                    <a:blip r:embed="rId9">
                      <a:extLst>
                        <a:ext uri="{28A0092B-C50C-407E-A947-70E740481C1C}">
                          <a14:useLocalDpi xmlns:a14="http://schemas.microsoft.com/office/drawing/2010/main" val="0"/>
                        </a:ext>
                      </a:extLst>
                    </a:blip>
                    <a:stretch>
                      <a:fillRect/>
                    </a:stretch>
                  </pic:blipFill>
                  <pic:spPr>
                    <a:xfrm>
                      <a:off x="0" y="0"/>
                      <a:ext cx="5522613" cy="4399984"/>
                    </a:xfrm>
                    <a:prstGeom prst="rect">
                      <a:avLst/>
                    </a:prstGeom>
                  </pic:spPr>
                </pic:pic>
              </a:graphicData>
            </a:graphic>
            <wp14:sizeRelH relativeFrom="page">
              <wp14:pctWidth>0</wp14:pctWidth>
            </wp14:sizeRelH>
            <wp14:sizeRelV relativeFrom="page">
              <wp14:pctHeight>0</wp14:pctHeight>
            </wp14:sizeRelV>
          </wp:anchor>
        </w:drawing>
      </w:r>
    </w:p>
    <w:p w:rsidR="00845705" w:rsidRDefault="00845705" w:rsidP="00845705">
      <w:pPr>
        <w:pStyle w:val="NoSpacing"/>
        <w:ind w:left="1080"/>
        <w:rPr>
          <w:b/>
          <w:sz w:val="28"/>
          <w:szCs w:val="28"/>
        </w:rPr>
      </w:pPr>
    </w:p>
    <w:p w:rsidR="00845705" w:rsidRPr="00845705" w:rsidRDefault="00845705" w:rsidP="00845705">
      <w:pPr>
        <w:pStyle w:val="NoSpacing"/>
        <w:ind w:left="1080"/>
        <w:rPr>
          <w:sz w:val="28"/>
          <w:szCs w:val="28"/>
        </w:rPr>
      </w:pPr>
    </w:p>
    <w:p w:rsidR="003E6CF5" w:rsidRDefault="003E6CF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845705" w:rsidRDefault="00845705" w:rsidP="003E6CF5">
      <w:pPr>
        <w:pStyle w:val="NoSpacing"/>
        <w:ind w:left="1080"/>
        <w:rPr>
          <w:sz w:val="28"/>
          <w:szCs w:val="28"/>
        </w:rPr>
      </w:pPr>
    </w:p>
    <w:p w:rsidR="004802C0" w:rsidRDefault="004802C0" w:rsidP="003E6CF5">
      <w:pPr>
        <w:pStyle w:val="NoSpacing"/>
        <w:ind w:left="1080"/>
        <w:rPr>
          <w:sz w:val="28"/>
          <w:szCs w:val="28"/>
        </w:rPr>
      </w:pPr>
    </w:p>
    <w:p w:rsidR="004802C0" w:rsidRDefault="004802C0" w:rsidP="003E6CF5">
      <w:pPr>
        <w:pStyle w:val="NoSpacing"/>
        <w:ind w:left="1080"/>
        <w:rPr>
          <w:sz w:val="28"/>
          <w:szCs w:val="28"/>
        </w:rPr>
      </w:pPr>
    </w:p>
    <w:p w:rsidR="00845705" w:rsidRDefault="00845705" w:rsidP="004802C0">
      <w:pPr>
        <w:pStyle w:val="NoSpacing"/>
        <w:rPr>
          <w:sz w:val="28"/>
          <w:szCs w:val="28"/>
        </w:rPr>
      </w:pPr>
      <w:r>
        <w:rPr>
          <w:sz w:val="28"/>
          <w:szCs w:val="28"/>
        </w:rPr>
        <w:t xml:space="preserve">Here is the link should you wish to print: </w:t>
      </w:r>
      <w:hyperlink r:id="rId10" w:history="1">
        <w:r w:rsidRPr="00D35077">
          <w:rPr>
            <w:rStyle w:val="Hyperlink"/>
            <w:sz w:val="28"/>
            <w:szCs w:val="28"/>
          </w:rPr>
          <w:t>https://www.who.int/gpsc/clean_hands_protection/en/</w:t>
        </w:r>
      </w:hyperlink>
    </w:p>
    <w:p w:rsidR="00845705" w:rsidRPr="00845705" w:rsidRDefault="00845705" w:rsidP="00845705">
      <w:pPr>
        <w:pStyle w:val="NoSpacing"/>
        <w:ind w:left="1080"/>
        <w:rPr>
          <w:sz w:val="28"/>
          <w:szCs w:val="28"/>
        </w:rPr>
      </w:pPr>
    </w:p>
    <w:p w:rsidR="003E6CF5" w:rsidRPr="00845705" w:rsidRDefault="003E6CF5" w:rsidP="003E6CF5">
      <w:pPr>
        <w:pStyle w:val="NoSpacing"/>
        <w:numPr>
          <w:ilvl w:val="1"/>
          <w:numId w:val="1"/>
        </w:numPr>
        <w:rPr>
          <w:sz w:val="28"/>
          <w:szCs w:val="28"/>
        </w:rPr>
      </w:pPr>
      <w:r w:rsidRPr="00845705">
        <w:rPr>
          <w:b/>
          <w:sz w:val="28"/>
          <w:szCs w:val="28"/>
        </w:rPr>
        <w:t>Prompt hand washing</w:t>
      </w:r>
      <w:r w:rsidRPr="00845705">
        <w:rPr>
          <w:sz w:val="28"/>
          <w:szCs w:val="28"/>
        </w:rPr>
        <w:t xml:space="preserve"> at appropriate times, either verbally, by gesture (miming turning a tap or rubbing one’s hands together), or using a handwashing image or poster. If required you may need to physically help the person </w:t>
      </w:r>
      <w:r w:rsidR="00E62120" w:rsidRPr="00845705">
        <w:rPr>
          <w:sz w:val="28"/>
          <w:szCs w:val="28"/>
        </w:rPr>
        <w:t xml:space="preserve">living with dementia </w:t>
      </w:r>
      <w:r w:rsidRPr="00845705">
        <w:rPr>
          <w:sz w:val="28"/>
          <w:szCs w:val="28"/>
        </w:rPr>
        <w:t>to wash their hands. Remember to promptly give praise and acknowledgement each time they wash their hands.</w:t>
      </w:r>
    </w:p>
    <w:p w:rsidR="003E6CF5" w:rsidRPr="00845705" w:rsidRDefault="003E6CF5" w:rsidP="003E6CF5">
      <w:pPr>
        <w:pStyle w:val="NoSpacing"/>
        <w:rPr>
          <w:sz w:val="28"/>
          <w:szCs w:val="28"/>
        </w:rPr>
      </w:pPr>
    </w:p>
    <w:p w:rsidR="003E6CF5" w:rsidRPr="00845705" w:rsidRDefault="003E6CF5" w:rsidP="003E6CF5">
      <w:pPr>
        <w:pStyle w:val="NoSpacing"/>
        <w:numPr>
          <w:ilvl w:val="1"/>
          <w:numId w:val="1"/>
        </w:numPr>
        <w:rPr>
          <w:sz w:val="28"/>
          <w:szCs w:val="28"/>
        </w:rPr>
      </w:pPr>
      <w:r w:rsidRPr="00845705">
        <w:rPr>
          <w:b/>
          <w:sz w:val="28"/>
          <w:szCs w:val="28"/>
        </w:rPr>
        <w:t>Tackling sensory issues</w:t>
      </w:r>
      <w:r w:rsidR="00845705">
        <w:rPr>
          <w:sz w:val="28"/>
          <w:szCs w:val="28"/>
        </w:rPr>
        <w:t xml:space="preserve"> - </w:t>
      </w:r>
      <w:r w:rsidRPr="00845705">
        <w:rPr>
          <w:sz w:val="28"/>
          <w:szCs w:val="28"/>
        </w:rPr>
        <w:t xml:space="preserve">If you know that the person </w:t>
      </w:r>
      <w:r w:rsidR="00E62120" w:rsidRPr="00845705">
        <w:rPr>
          <w:sz w:val="28"/>
          <w:szCs w:val="28"/>
        </w:rPr>
        <w:t xml:space="preserve">living </w:t>
      </w:r>
      <w:r w:rsidRPr="00845705">
        <w:rPr>
          <w:sz w:val="28"/>
          <w:szCs w:val="28"/>
        </w:rPr>
        <w:t>with dementia has a preference for liquid soap or solid soap bars ensure that the correct one, and ideally the preferred/usual brand, is to hand. Also fi</w:t>
      </w:r>
      <w:r w:rsidR="00E62120" w:rsidRPr="00845705">
        <w:rPr>
          <w:sz w:val="28"/>
          <w:szCs w:val="28"/>
        </w:rPr>
        <w:t xml:space="preserve">nd out </w:t>
      </w:r>
      <w:r w:rsidRPr="00845705">
        <w:rPr>
          <w:sz w:val="28"/>
          <w:szCs w:val="28"/>
        </w:rPr>
        <w:t>if they favour a particular smell, or if they prefer unscented soap. If they dislike the sensation of touching soap, consider placing the soap in a fabric pouch, so they only have to touch the suds.</w:t>
      </w:r>
    </w:p>
    <w:p w:rsidR="003E6CF5" w:rsidRPr="00845705" w:rsidRDefault="003E6CF5" w:rsidP="003E6CF5">
      <w:pPr>
        <w:pStyle w:val="NoSpacing"/>
        <w:rPr>
          <w:sz w:val="28"/>
          <w:szCs w:val="28"/>
        </w:rPr>
      </w:pPr>
    </w:p>
    <w:p w:rsidR="003E6CF5" w:rsidRPr="00845705" w:rsidRDefault="003E6CF5" w:rsidP="003E6CF5">
      <w:pPr>
        <w:pStyle w:val="NoSpacing"/>
        <w:numPr>
          <w:ilvl w:val="1"/>
          <w:numId w:val="1"/>
        </w:numPr>
        <w:rPr>
          <w:sz w:val="28"/>
          <w:szCs w:val="28"/>
        </w:rPr>
      </w:pPr>
      <w:r w:rsidRPr="00845705">
        <w:rPr>
          <w:b/>
          <w:bCs/>
          <w:sz w:val="28"/>
          <w:szCs w:val="28"/>
        </w:rPr>
        <w:t>Water Temperature</w:t>
      </w:r>
      <w:r w:rsidRPr="00845705">
        <w:rPr>
          <w:sz w:val="28"/>
          <w:szCs w:val="28"/>
        </w:rPr>
        <w:t>. Assessing a safe water temperature may be difficult for the person</w:t>
      </w:r>
      <w:r w:rsidR="00E62120" w:rsidRPr="00845705">
        <w:rPr>
          <w:sz w:val="28"/>
          <w:szCs w:val="28"/>
        </w:rPr>
        <w:t xml:space="preserve"> living</w:t>
      </w:r>
      <w:r w:rsidRPr="00845705">
        <w:rPr>
          <w:sz w:val="28"/>
          <w:szCs w:val="28"/>
        </w:rPr>
        <w:t xml:space="preserve"> with dementia, and they may need assistance. Some people</w:t>
      </w:r>
      <w:r w:rsidR="00E62120" w:rsidRPr="00845705">
        <w:rPr>
          <w:sz w:val="28"/>
          <w:szCs w:val="28"/>
        </w:rPr>
        <w:t xml:space="preserve"> living with dementia</w:t>
      </w:r>
      <w:r w:rsidRPr="00845705">
        <w:rPr>
          <w:sz w:val="28"/>
          <w:szCs w:val="28"/>
        </w:rPr>
        <w:t xml:space="preserve"> may find slightly warm water more tolerable than cold water. </w:t>
      </w:r>
    </w:p>
    <w:p w:rsidR="003E6CF5" w:rsidRPr="00845705" w:rsidRDefault="003E6CF5" w:rsidP="003E6CF5">
      <w:pPr>
        <w:pStyle w:val="NoSpacing"/>
        <w:rPr>
          <w:sz w:val="28"/>
          <w:szCs w:val="28"/>
        </w:rPr>
      </w:pPr>
    </w:p>
    <w:p w:rsidR="003E6CF5" w:rsidRPr="00845705" w:rsidRDefault="003E6CF5" w:rsidP="003E6CF5">
      <w:pPr>
        <w:pStyle w:val="NoSpacing"/>
        <w:numPr>
          <w:ilvl w:val="1"/>
          <w:numId w:val="1"/>
        </w:numPr>
        <w:rPr>
          <w:sz w:val="28"/>
          <w:szCs w:val="28"/>
        </w:rPr>
      </w:pPr>
      <w:r w:rsidRPr="00845705">
        <w:rPr>
          <w:b/>
          <w:bCs/>
          <w:sz w:val="28"/>
          <w:szCs w:val="28"/>
        </w:rPr>
        <w:t xml:space="preserve">Antibacterial Hand Gel </w:t>
      </w:r>
      <w:r w:rsidRPr="00845705">
        <w:rPr>
          <w:sz w:val="28"/>
          <w:szCs w:val="28"/>
        </w:rPr>
        <w:t xml:space="preserve">- If soap and water are really not an option or not available, then use antibacterial hand gel. You may need to demonstrate how to use this and assist. Again, you may need to investigate whether scented or unscented ones, gel or spray ones are preferred. </w:t>
      </w:r>
    </w:p>
    <w:p w:rsidR="003E6CF5" w:rsidRPr="00845705" w:rsidRDefault="003E6CF5" w:rsidP="003E6CF5">
      <w:pPr>
        <w:pStyle w:val="NoSpacing"/>
        <w:rPr>
          <w:sz w:val="28"/>
          <w:szCs w:val="28"/>
        </w:rPr>
      </w:pPr>
    </w:p>
    <w:p w:rsidR="0062769F" w:rsidRDefault="003E6CF5" w:rsidP="0062769F">
      <w:pPr>
        <w:pStyle w:val="NoSpacing"/>
        <w:numPr>
          <w:ilvl w:val="1"/>
          <w:numId w:val="1"/>
        </w:numPr>
        <w:rPr>
          <w:sz w:val="28"/>
          <w:szCs w:val="28"/>
        </w:rPr>
      </w:pPr>
      <w:r w:rsidRPr="00845705">
        <w:rPr>
          <w:b/>
          <w:bCs/>
          <w:sz w:val="28"/>
          <w:szCs w:val="28"/>
        </w:rPr>
        <w:t xml:space="preserve">Hand Lotion </w:t>
      </w:r>
      <w:r w:rsidRPr="00845705">
        <w:rPr>
          <w:sz w:val="28"/>
          <w:szCs w:val="28"/>
        </w:rPr>
        <w:t>- Some people</w:t>
      </w:r>
      <w:r w:rsidR="00E62120" w:rsidRPr="00845705">
        <w:rPr>
          <w:sz w:val="28"/>
          <w:szCs w:val="28"/>
        </w:rPr>
        <w:t xml:space="preserve"> living</w:t>
      </w:r>
      <w:r w:rsidRPr="00845705">
        <w:rPr>
          <w:sz w:val="28"/>
          <w:szCs w:val="28"/>
        </w:rPr>
        <w:t xml:space="preserve"> with dementia are distracted by the tactile sensation after</w:t>
      </w:r>
      <w:r w:rsidR="00845705" w:rsidRPr="00845705">
        <w:rPr>
          <w:sz w:val="28"/>
          <w:szCs w:val="28"/>
        </w:rPr>
        <w:t xml:space="preserve"> they have washed their hands. I</w:t>
      </w:r>
      <w:r w:rsidRPr="00845705">
        <w:rPr>
          <w:sz w:val="28"/>
          <w:szCs w:val="28"/>
        </w:rPr>
        <w:t>nvestigate if this is eased by using a preferred hand lotion immediately afterwards. Repeated hand washing can also dry out the hands, so consider using hand lotion regularly after hand washing.</w:t>
      </w:r>
    </w:p>
    <w:p w:rsidR="0062769F" w:rsidRPr="0062769F" w:rsidRDefault="0062769F" w:rsidP="0062769F">
      <w:pPr>
        <w:pStyle w:val="NoSpacing"/>
        <w:rPr>
          <w:sz w:val="28"/>
          <w:szCs w:val="28"/>
        </w:rPr>
      </w:pPr>
    </w:p>
    <w:p w:rsidR="0062769F" w:rsidRPr="0062769F" w:rsidRDefault="0062769F" w:rsidP="0062769F">
      <w:pPr>
        <w:pStyle w:val="NoSpacing"/>
        <w:numPr>
          <w:ilvl w:val="0"/>
          <w:numId w:val="1"/>
        </w:numPr>
        <w:rPr>
          <w:rFonts w:eastAsia="Times New Roman" w:cstheme="minorHAnsi"/>
          <w:color w:val="333333"/>
          <w:sz w:val="28"/>
          <w:szCs w:val="28"/>
          <w:lang w:val="en-US" w:eastAsia="en-GB"/>
        </w:rPr>
      </w:pPr>
      <w:r w:rsidRPr="0062769F">
        <w:rPr>
          <w:rFonts w:cstheme="minorHAnsi"/>
          <w:sz w:val="28"/>
          <w:szCs w:val="28"/>
        </w:rPr>
        <w:t xml:space="preserve">Supporting someone living with dementia to effectively hand wash will be particularly important if they are unable to refrain from touching their face. </w:t>
      </w:r>
    </w:p>
    <w:p w:rsidR="0062769F" w:rsidRPr="0062769F" w:rsidRDefault="0062769F" w:rsidP="0062769F">
      <w:pPr>
        <w:pStyle w:val="NoSpacing"/>
        <w:ind w:left="360"/>
        <w:rPr>
          <w:rFonts w:eastAsia="Times New Roman" w:cstheme="minorHAnsi"/>
          <w:color w:val="333333"/>
          <w:sz w:val="28"/>
          <w:szCs w:val="28"/>
          <w:lang w:val="en-US" w:eastAsia="en-GB"/>
        </w:rPr>
      </w:pPr>
    </w:p>
    <w:p w:rsidR="008D5907" w:rsidRPr="0062769F" w:rsidRDefault="0062769F" w:rsidP="0062769F">
      <w:pPr>
        <w:pStyle w:val="NoSpacing"/>
        <w:numPr>
          <w:ilvl w:val="0"/>
          <w:numId w:val="1"/>
        </w:numPr>
        <w:rPr>
          <w:rFonts w:eastAsia="Times New Roman" w:cstheme="minorHAnsi"/>
          <w:color w:val="333333"/>
          <w:sz w:val="28"/>
          <w:szCs w:val="28"/>
          <w:lang w:val="en-US" w:eastAsia="en-GB"/>
        </w:rPr>
      </w:pPr>
      <w:r>
        <w:rPr>
          <w:rFonts w:cstheme="minorHAnsi"/>
          <w:sz w:val="28"/>
          <w:szCs w:val="28"/>
        </w:rPr>
        <w:t xml:space="preserve">In discussing the </w:t>
      </w:r>
      <w:r w:rsidR="00D91AB8">
        <w:rPr>
          <w:rFonts w:cstheme="minorHAnsi"/>
          <w:sz w:val="28"/>
          <w:szCs w:val="28"/>
        </w:rPr>
        <w:t>difficulty of</w:t>
      </w:r>
      <w:r>
        <w:rPr>
          <w:rFonts w:cstheme="minorHAnsi"/>
          <w:sz w:val="28"/>
          <w:szCs w:val="28"/>
        </w:rPr>
        <w:t xml:space="preserve"> getting someone living with dementia not to touch their face, </w:t>
      </w:r>
      <w:r w:rsidRPr="0062769F">
        <w:rPr>
          <w:rFonts w:cstheme="minorHAnsi"/>
          <w:sz w:val="28"/>
          <w:szCs w:val="28"/>
        </w:rPr>
        <w:t>Teepa Snow</w:t>
      </w:r>
      <w:r>
        <w:rPr>
          <w:rFonts w:cstheme="minorHAnsi"/>
          <w:sz w:val="28"/>
          <w:szCs w:val="28"/>
        </w:rPr>
        <w:t xml:space="preserve"> (Dementia Care E</w:t>
      </w:r>
      <w:r w:rsidRPr="0062769F">
        <w:rPr>
          <w:rFonts w:cstheme="minorHAnsi"/>
          <w:sz w:val="28"/>
          <w:szCs w:val="28"/>
        </w:rPr>
        <w:t>xpert</w:t>
      </w:r>
      <w:r>
        <w:rPr>
          <w:rFonts w:cstheme="minorHAnsi"/>
          <w:sz w:val="28"/>
          <w:szCs w:val="28"/>
        </w:rPr>
        <w:t>)</w:t>
      </w:r>
      <w:r w:rsidRPr="0062769F">
        <w:rPr>
          <w:rFonts w:cstheme="minorHAnsi"/>
          <w:sz w:val="28"/>
          <w:szCs w:val="28"/>
        </w:rPr>
        <w:t xml:space="preserve"> states</w:t>
      </w:r>
      <w:r>
        <w:rPr>
          <w:rFonts w:cstheme="minorHAnsi"/>
          <w:sz w:val="28"/>
          <w:szCs w:val="28"/>
        </w:rPr>
        <w:t>:</w:t>
      </w:r>
      <w:r w:rsidRPr="0062769F">
        <w:rPr>
          <w:rFonts w:cstheme="minorHAnsi"/>
          <w:sz w:val="28"/>
          <w:szCs w:val="28"/>
        </w:rPr>
        <w:t xml:space="preserve"> </w:t>
      </w:r>
      <w:r w:rsidRPr="0062769F">
        <w:rPr>
          <w:rFonts w:cstheme="minorHAnsi"/>
          <w:i/>
          <w:sz w:val="28"/>
          <w:szCs w:val="28"/>
        </w:rPr>
        <w:t>“</w:t>
      </w:r>
      <w:r w:rsidRPr="0062769F">
        <w:rPr>
          <w:rFonts w:eastAsia="Times New Roman" w:cstheme="minorHAnsi"/>
          <w:i/>
          <w:color w:val="333333"/>
          <w:sz w:val="28"/>
          <w:szCs w:val="28"/>
          <w:lang w:val="en-US" w:eastAsia="en-GB"/>
        </w:rPr>
        <w:t>It’s not going to happen, so we’ve got to let go of that one. The face is a highly sensitive part of the human body, the hands are highly sensitive parts of the human body, and the more that someone is anxious or nervous from losing contact with other human beings, what else are they supposed to do with their hands? Touching the face is one of the very first things babies ever do in the world, and we’re saying now that we’ve got to get them to not do that? That’s not going to happen. The idea that we can regulate behavior of someone who is [living with dementia], to not do a habitual behavior that is based on a sensory need, is illogical.”</w:t>
      </w:r>
      <w:r>
        <w:rPr>
          <w:rFonts w:eastAsia="Times New Roman" w:cstheme="minorHAnsi"/>
          <w:i/>
          <w:color w:val="333333"/>
          <w:sz w:val="28"/>
          <w:szCs w:val="28"/>
          <w:lang w:val="en-US" w:eastAsia="en-GB"/>
        </w:rPr>
        <w:t xml:space="preserve"> </w:t>
      </w:r>
      <w:r>
        <w:rPr>
          <w:rFonts w:eastAsia="Times New Roman" w:cstheme="minorHAnsi"/>
          <w:color w:val="333333"/>
          <w:sz w:val="28"/>
          <w:szCs w:val="28"/>
          <w:lang w:val="en-US" w:eastAsia="en-GB"/>
        </w:rPr>
        <w:t xml:space="preserve"> </w:t>
      </w:r>
      <w:r w:rsidRPr="0062769F">
        <w:rPr>
          <w:rFonts w:eastAsia="Times New Roman" w:cstheme="minorHAnsi"/>
          <w:color w:val="333333"/>
          <w:sz w:val="28"/>
          <w:szCs w:val="28"/>
          <w:lang w:val="en-US" w:eastAsia="en-GB"/>
        </w:rPr>
        <w:t xml:space="preserve">Here is a link to the ‘being patient’ interview with Teepa Snow: </w:t>
      </w:r>
      <w:hyperlink r:id="rId11" w:history="1">
        <w:r w:rsidRPr="0062769F">
          <w:rPr>
            <w:rStyle w:val="Hyperlink"/>
            <w:rFonts w:eastAsia="Times New Roman" w:cstheme="minorHAnsi"/>
            <w:sz w:val="28"/>
            <w:szCs w:val="28"/>
            <w:lang w:val="en-US" w:eastAsia="en-GB"/>
          </w:rPr>
          <w:t>https://www.beingpatient.com/covid-19-dementia-caregiver-steps/</w:t>
        </w:r>
      </w:hyperlink>
    </w:p>
    <w:sectPr w:rsidR="008D5907" w:rsidRPr="0062769F" w:rsidSect="00412E02">
      <w:headerReference w:type="even" r:id="rId12"/>
      <w:footerReference w:type="default" r:id="rId13"/>
      <w:headerReference w:type="first" r:id="rId14"/>
      <w:pgSz w:w="11906" w:h="16838"/>
      <w:pgMar w:top="720" w:right="720" w:bottom="720" w:left="72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F5" w:rsidRDefault="003E6CF5" w:rsidP="003E6CF5">
      <w:pPr>
        <w:spacing w:after="0" w:line="240" w:lineRule="auto"/>
      </w:pPr>
      <w:r>
        <w:separator/>
      </w:r>
    </w:p>
  </w:endnote>
  <w:endnote w:type="continuationSeparator" w:id="0">
    <w:p w:rsidR="003E6CF5" w:rsidRDefault="003E6CF5" w:rsidP="003E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02" w:rsidRDefault="007D0804">
    <w:pPr>
      <w:pStyle w:val="Footer"/>
    </w:pPr>
  </w:p>
  <w:p w:rsidR="00412E02" w:rsidRPr="00F44D7A" w:rsidRDefault="00F44D7A" w:rsidP="00F44D7A">
    <w:pPr>
      <w:pStyle w:val="Footer"/>
      <w:rPr>
        <w:rFonts w:cstheme="minorHAnsi"/>
        <w:sz w:val="20"/>
      </w:rPr>
    </w:pPr>
    <w:r w:rsidRPr="00F44D7A">
      <w:rPr>
        <w:rFonts w:cstheme="minorHAnsi"/>
        <w:szCs w:val="24"/>
      </w:rPr>
      <w:t>Adapted with permission from Suzanne Crooks/Edinburgh Behaviour Support Service, NHS Lothian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F5" w:rsidRDefault="003E6CF5" w:rsidP="003E6CF5">
      <w:pPr>
        <w:spacing w:after="0" w:line="240" w:lineRule="auto"/>
      </w:pPr>
      <w:r>
        <w:separator/>
      </w:r>
    </w:p>
  </w:footnote>
  <w:footnote w:type="continuationSeparator" w:id="0">
    <w:p w:rsidR="003E6CF5" w:rsidRDefault="003E6CF5" w:rsidP="003E6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14" w:rsidRDefault="007D08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320110" o:spid="_x0000_s1026" type="#_x0000_t136" style="position:absolute;margin-left:0;margin-top:0;width:461.15pt;height:276.65pt;rotation:315;z-index:-25165619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14" w:rsidRDefault="007D08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320109" o:spid="_x0000_s1025" type="#_x0000_t136" style="position:absolute;margin-left:0;margin-top:0;width:461.15pt;height:276.65pt;rotation:315;z-index:-25165824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A8C"/>
    <w:multiLevelType w:val="hybridMultilevel"/>
    <w:tmpl w:val="1524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5210F"/>
    <w:multiLevelType w:val="hybridMultilevel"/>
    <w:tmpl w:val="CD98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847F1"/>
    <w:multiLevelType w:val="hybridMultilevel"/>
    <w:tmpl w:val="531C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D4905"/>
    <w:multiLevelType w:val="hybridMultilevel"/>
    <w:tmpl w:val="0392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5F3CE0"/>
    <w:multiLevelType w:val="hybridMultilevel"/>
    <w:tmpl w:val="1E04CF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BC555A"/>
    <w:multiLevelType w:val="hybridMultilevel"/>
    <w:tmpl w:val="61BE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F41C37"/>
    <w:multiLevelType w:val="hybridMultilevel"/>
    <w:tmpl w:val="6558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B96EDF"/>
    <w:multiLevelType w:val="hybridMultilevel"/>
    <w:tmpl w:val="41E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F5"/>
    <w:rsid w:val="003E6CF5"/>
    <w:rsid w:val="004311B2"/>
    <w:rsid w:val="004802C0"/>
    <w:rsid w:val="00623F34"/>
    <w:rsid w:val="0062769F"/>
    <w:rsid w:val="007D0804"/>
    <w:rsid w:val="007F4587"/>
    <w:rsid w:val="00845705"/>
    <w:rsid w:val="008D5907"/>
    <w:rsid w:val="00C101E4"/>
    <w:rsid w:val="00D91AB8"/>
    <w:rsid w:val="00E62120"/>
    <w:rsid w:val="00F44D7A"/>
    <w:rsid w:val="00FE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CF5"/>
    <w:pPr>
      <w:spacing w:after="0" w:line="240" w:lineRule="auto"/>
    </w:pPr>
  </w:style>
  <w:style w:type="character" w:styleId="Hyperlink">
    <w:name w:val="Hyperlink"/>
    <w:basedOn w:val="DefaultParagraphFont"/>
    <w:uiPriority w:val="99"/>
    <w:unhideWhenUsed/>
    <w:rsid w:val="003E6CF5"/>
    <w:rPr>
      <w:color w:val="0000FF" w:themeColor="hyperlink"/>
      <w:u w:val="single"/>
    </w:rPr>
  </w:style>
  <w:style w:type="paragraph" w:styleId="Header">
    <w:name w:val="header"/>
    <w:basedOn w:val="Normal"/>
    <w:link w:val="HeaderChar"/>
    <w:uiPriority w:val="99"/>
    <w:unhideWhenUsed/>
    <w:rsid w:val="003E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F5"/>
  </w:style>
  <w:style w:type="paragraph" w:styleId="Footer">
    <w:name w:val="footer"/>
    <w:basedOn w:val="Normal"/>
    <w:link w:val="FooterChar"/>
    <w:uiPriority w:val="99"/>
    <w:unhideWhenUsed/>
    <w:rsid w:val="003E6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F5"/>
  </w:style>
  <w:style w:type="paragraph" w:styleId="BalloonText">
    <w:name w:val="Balloon Text"/>
    <w:basedOn w:val="Normal"/>
    <w:link w:val="BalloonTextChar"/>
    <w:uiPriority w:val="99"/>
    <w:semiHidden/>
    <w:unhideWhenUsed/>
    <w:rsid w:val="003E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CF5"/>
    <w:rPr>
      <w:rFonts w:ascii="Tahoma" w:hAnsi="Tahoma" w:cs="Tahoma"/>
      <w:sz w:val="16"/>
      <w:szCs w:val="16"/>
    </w:rPr>
  </w:style>
  <w:style w:type="paragraph" w:customStyle="1" w:styleId="Default">
    <w:name w:val="Default"/>
    <w:rsid w:val="003E6CF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E6CF5"/>
    <w:pPr>
      <w:ind w:left="720"/>
      <w:contextualSpacing/>
    </w:pPr>
  </w:style>
  <w:style w:type="character" w:styleId="FollowedHyperlink">
    <w:name w:val="FollowedHyperlink"/>
    <w:basedOn w:val="DefaultParagraphFont"/>
    <w:uiPriority w:val="99"/>
    <w:semiHidden/>
    <w:unhideWhenUsed/>
    <w:rsid w:val="008457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CF5"/>
    <w:pPr>
      <w:spacing w:after="0" w:line="240" w:lineRule="auto"/>
    </w:pPr>
  </w:style>
  <w:style w:type="character" w:styleId="Hyperlink">
    <w:name w:val="Hyperlink"/>
    <w:basedOn w:val="DefaultParagraphFont"/>
    <w:uiPriority w:val="99"/>
    <w:unhideWhenUsed/>
    <w:rsid w:val="003E6CF5"/>
    <w:rPr>
      <w:color w:val="0000FF" w:themeColor="hyperlink"/>
      <w:u w:val="single"/>
    </w:rPr>
  </w:style>
  <w:style w:type="paragraph" w:styleId="Header">
    <w:name w:val="header"/>
    <w:basedOn w:val="Normal"/>
    <w:link w:val="HeaderChar"/>
    <w:uiPriority w:val="99"/>
    <w:unhideWhenUsed/>
    <w:rsid w:val="003E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F5"/>
  </w:style>
  <w:style w:type="paragraph" w:styleId="Footer">
    <w:name w:val="footer"/>
    <w:basedOn w:val="Normal"/>
    <w:link w:val="FooterChar"/>
    <w:uiPriority w:val="99"/>
    <w:unhideWhenUsed/>
    <w:rsid w:val="003E6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F5"/>
  </w:style>
  <w:style w:type="paragraph" w:styleId="BalloonText">
    <w:name w:val="Balloon Text"/>
    <w:basedOn w:val="Normal"/>
    <w:link w:val="BalloonTextChar"/>
    <w:uiPriority w:val="99"/>
    <w:semiHidden/>
    <w:unhideWhenUsed/>
    <w:rsid w:val="003E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CF5"/>
    <w:rPr>
      <w:rFonts w:ascii="Tahoma" w:hAnsi="Tahoma" w:cs="Tahoma"/>
      <w:sz w:val="16"/>
      <w:szCs w:val="16"/>
    </w:rPr>
  </w:style>
  <w:style w:type="paragraph" w:customStyle="1" w:styleId="Default">
    <w:name w:val="Default"/>
    <w:rsid w:val="003E6CF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E6CF5"/>
    <w:pPr>
      <w:ind w:left="720"/>
      <w:contextualSpacing/>
    </w:pPr>
  </w:style>
  <w:style w:type="character" w:styleId="FollowedHyperlink">
    <w:name w:val="FollowedHyperlink"/>
    <w:basedOn w:val="DefaultParagraphFont"/>
    <w:uiPriority w:val="99"/>
    <w:semiHidden/>
    <w:unhideWhenUsed/>
    <w:rsid w:val="00845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eingpatient.com/covid-19-dementia-caregiver-ste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gpsc/clean_hands_protection/en/"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Bekarma</dc:creator>
  <cp:lastModifiedBy>Oliver Bekarma</cp:lastModifiedBy>
  <cp:revision>5</cp:revision>
  <dcterms:created xsi:type="dcterms:W3CDTF">2020-04-20T12:41:00Z</dcterms:created>
  <dcterms:modified xsi:type="dcterms:W3CDTF">2020-04-20T14:41:00Z</dcterms:modified>
</cp:coreProperties>
</file>